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DA" w:rsidRPr="00BC390F" w:rsidRDefault="005B7BDA" w:rsidP="005B7BDA">
      <w:pPr>
        <w:jc w:val="center"/>
        <w:rPr>
          <w:rFonts w:asciiTheme="majorHAnsi" w:hAnsiTheme="majorHAnsi"/>
          <w:b/>
          <w:sz w:val="24"/>
          <w:szCs w:val="24"/>
        </w:rPr>
      </w:pPr>
      <w:r w:rsidRPr="00BC390F">
        <w:rPr>
          <w:rFonts w:asciiTheme="majorHAnsi" w:hAnsiTheme="majorHAnsi"/>
          <w:b/>
          <w:sz w:val="24"/>
          <w:szCs w:val="24"/>
        </w:rPr>
        <w:t>SENTENCIA DE LA A.P DE MADRID  494/2012 DE 25 DE JULIO DE 2012</w:t>
      </w:r>
    </w:p>
    <w:p w:rsidR="005B7BDA" w:rsidRDefault="005B7BDA" w:rsidP="005B7BDA">
      <w:pPr>
        <w:jc w:val="both"/>
      </w:pPr>
    </w:p>
    <w:p w:rsidR="005B7BDA" w:rsidRPr="005B7BDA" w:rsidRDefault="005B7BDA" w:rsidP="005B7BDA">
      <w:pPr>
        <w:jc w:val="both"/>
        <w:rPr>
          <w:rFonts w:asciiTheme="majorHAnsi" w:hAnsiTheme="majorHAnsi"/>
          <w:bCs/>
          <w:iCs/>
          <w:sz w:val="24"/>
          <w:szCs w:val="24"/>
        </w:rPr>
      </w:pPr>
      <w:r w:rsidRPr="005B7BDA">
        <w:rPr>
          <w:rFonts w:asciiTheme="majorHAnsi" w:hAnsiTheme="majorHAnsi"/>
          <w:bCs/>
          <w:iCs/>
          <w:sz w:val="24"/>
          <w:szCs w:val="24"/>
        </w:rPr>
        <w:t>SENTENCIA: 00494/2012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r w:rsidRPr="005B7BDA">
        <w:rPr>
          <w:rFonts w:asciiTheme="majorHAnsi" w:hAnsiTheme="majorHAnsi"/>
          <w:bCs/>
          <w:sz w:val="24"/>
          <w:szCs w:val="24"/>
        </w:rPr>
        <w:t>Rollo: RECURSO DE APELACION 433 /2011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r w:rsidRPr="005B7BDA">
        <w:rPr>
          <w:rFonts w:asciiTheme="majorHAnsi" w:hAnsiTheme="majorHAnsi"/>
          <w:bCs/>
          <w:sz w:val="24"/>
          <w:szCs w:val="24"/>
        </w:rPr>
        <w:t>Asunto: 1369/2010 (Verbal)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r w:rsidRPr="005B7BDA">
        <w:rPr>
          <w:rFonts w:asciiTheme="majorHAnsi" w:hAnsiTheme="majorHAnsi"/>
          <w:bCs/>
          <w:sz w:val="24"/>
          <w:szCs w:val="24"/>
        </w:rPr>
        <w:t>Juzgado: 1ª Instancia nº 14 de Madrid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r w:rsidRPr="005B7BDA">
        <w:rPr>
          <w:rFonts w:asciiTheme="majorHAnsi" w:hAnsiTheme="majorHAnsi"/>
          <w:bCs/>
          <w:sz w:val="24"/>
          <w:szCs w:val="24"/>
        </w:rPr>
        <w:t>Ap</w:t>
      </w:r>
      <w:r w:rsidR="00BC390F">
        <w:rPr>
          <w:rFonts w:asciiTheme="majorHAnsi" w:hAnsiTheme="majorHAnsi"/>
          <w:bCs/>
          <w:sz w:val="24"/>
          <w:szCs w:val="24"/>
        </w:rPr>
        <w:t>elante: C.P. DE CALLE000 NUM000</w:t>
      </w:r>
      <w:r w:rsidRPr="005B7BDA">
        <w:rPr>
          <w:rFonts w:asciiTheme="majorHAnsi" w:hAnsiTheme="majorHAnsi"/>
          <w:bCs/>
          <w:sz w:val="24"/>
          <w:szCs w:val="24"/>
        </w:rPr>
        <w:t>, OCASO SA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r w:rsidRPr="005B7BDA">
        <w:rPr>
          <w:rFonts w:asciiTheme="majorHAnsi" w:hAnsiTheme="majorHAnsi"/>
          <w:bCs/>
          <w:sz w:val="24"/>
          <w:szCs w:val="24"/>
        </w:rPr>
        <w:t>Procuradora: MARINA DE LA VILLA CANTOS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r w:rsidRPr="005B7BDA">
        <w:rPr>
          <w:rFonts w:asciiTheme="majorHAnsi" w:hAnsiTheme="majorHAnsi"/>
          <w:bCs/>
          <w:sz w:val="24"/>
          <w:szCs w:val="24"/>
        </w:rPr>
        <w:t>Apelado: BIHARKO ASEGURADORA SA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r w:rsidRPr="005B7BDA">
        <w:rPr>
          <w:rFonts w:asciiTheme="majorHAnsi" w:hAnsiTheme="majorHAnsi"/>
          <w:bCs/>
          <w:sz w:val="24"/>
          <w:szCs w:val="24"/>
        </w:rPr>
        <w:t>Procurador: JULIAN CABALLERO AGUADO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iCs/>
          <w:sz w:val="24"/>
          <w:szCs w:val="24"/>
        </w:rPr>
      </w:pPr>
      <w:r w:rsidRPr="005B7BDA">
        <w:rPr>
          <w:rFonts w:asciiTheme="majorHAnsi" w:hAnsiTheme="majorHAnsi"/>
          <w:bCs/>
          <w:iCs/>
          <w:sz w:val="24"/>
          <w:szCs w:val="24"/>
        </w:rPr>
        <w:t>S E N T E N C I A Nº 494/2012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proofErr w:type="spellStart"/>
      <w:r w:rsidRPr="005B7BDA">
        <w:rPr>
          <w:rFonts w:asciiTheme="majorHAnsi" w:hAnsiTheme="majorHAnsi"/>
          <w:bCs/>
          <w:sz w:val="24"/>
          <w:szCs w:val="24"/>
        </w:rPr>
        <w:t>Ilmos</w:t>
      </w:r>
      <w:proofErr w:type="spellEnd"/>
      <w:r w:rsidRPr="005B7BDA">
        <w:rPr>
          <w:rFonts w:asciiTheme="majorHAnsi" w:hAnsiTheme="majorHAnsi"/>
          <w:bCs/>
          <w:sz w:val="24"/>
          <w:szCs w:val="24"/>
        </w:rPr>
        <w:t>. Sres. Magistrados:</w:t>
      </w:r>
    </w:p>
    <w:p w:rsidR="005B7BDA" w:rsidRPr="005B7BDA" w:rsidRDefault="005B7BDA" w:rsidP="005B7BDA">
      <w:pPr>
        <w:jc w:val="both"/>
        <w:rPr>
          <w:rFonts w:asciiTheme="majorHAnsi" w:hAnsiTheme="majorHAnsi"/>
          <w:bCs/>
          <w:sz w:val="24"/>
          <w:szCs w:val="24"/>
        </w:rPr>
      </w:pPr>
      <w:r w:rsidRPr="005B7BDA">
        <w:rPr>
          <w:rFonts w:asciiTheme="majorHAnsi" w:hAnsiTheme="majorHAnsi"/>
          <w:bCs/>
          <w:sz w:val="24"/>
          <w:szCs w:val="24"/>
        </w:rPr>
        <w:t>DOÑA CRISTINA DOMENECH GARRET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En MADRID, a veinticinco de julio de dos mil doce.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 xml:space="preserve">VISTO en grado de apelación ante esta Sección 12 de la Audiencia Provincial de MADRID, los Autos de </w:t>
      </w:r>
      <w:r w:rsidRPr="005B7BDA">
        <w:rPr>
          <w:rFonts w:asciiTheme="majorHAnsi" w:hAnsiTheme="majorHAnsi"/>
          <w:bCs/>
          <w:sz w:val="24"/>
          <w:szCs w:val="24"/>
        </w:rPr>
        <w:t>JUICIO VERBAL 1369/2010,</w:t>
      </w:r>
      <w:r w:rsidRPr="005B7BDA">
        <w:rPr>
          <w:rFonts w:asciiTheme="majorHAnsi" w:hAnsiTheme="majorHAnsi"/>
          <w:sz w:val="24"/>
          <w:szCs w:val="24"/>
        </w:rPr>
        <w:t xml:space="preserve"> procedentes del JDO. PRIMERA INSTANCIA N. 14 de MADRID, a los que ha correspondido el </w:t>
      </w:r>
      <w:r w:rsidRPr="005B7BDA">
        <w:rPr>
          <w:rFonts w:asciiTheme="majorHAnsi" w:hAnsiTheme="majorHAnsi"/>
          <w:bCs/>
          <w:sz w:val="24"/>
          <w:szCs w:val="24"/>
        </w:rPr>
        <w:t>Rollo 433/</w:t>
      </w:r>
      <w:proofErr w:type="gramStart"/>
      <w:r w:rsidRPr="005B7BDA">
        <w:rPr>
          <w:rFonts w:asciiTheme="majorHAnsi" w:hAnsiTheme="majorHAnsi"/>
          <w:bCs/>
          <w:sz w:val="24"/>
          <w:szCs w:val="24"/>
        </w:rPr>
        <w:t xml:space="preserve">2011 </w:t>
      </w:r>
      <w:r w:rsidRPr="005B7BDA">
        <w:rPr>
          <w:rFonts w:asciiTheme="majorHAnsi" w:hAnsiTheme="majorHAnsi"/>
          <w:sz w:val="24"/>
          <w:szCs w:val="24"/>
        </w:rPr>
        <w:t>,</w:t>
      </w:r>
      <w:proofErr w:type="gramEnd"/>
      <w:r w:rsidRPr="005B7BDA">
        <w:rPr>
          <w:rFonts w:asciiTheme="majorHAnsi" w:hAnsiTheme="majorHAnsi"/>
          <w:sz w:val="24"/>
          <w:szCs w:val="24"/>
        </w:rPr>
        <w:t xml:space="preserve"> en los que aparece como parte apelante C.P. C/ CALLE000 NUM000</w:t>
      </w:r>
      <w:r w:rsidRPr="005B7BDA">
        <w:rPr>
          <w:rFonts w:asciiTheme="majorHAnsi" w:hAnsiTheme="majorHAnsi"/>
          <w:bCs/>
          <w:sz w:val="24"/>
          <w:szCs w:val="24"/>
        </w:rPr>
        <w:t xml:space="preserve">-MADRID y OCASO SA </w:t>
      </w:r>
      <w:r w:rsidRPr="005B7BDA">
        <w:rPr>
          <w:rFonts w:asciiTheme="majorHAnsi" w:hAnsiTheme="majorHAnsi"/>
          <w:sz w:val="24"/>
          <w:szCs w:val="24"/>
        </w:rPr>
        <w:t xml:space="preserve">representado por la procuradora Dª. MARINA DE LA VILLA CANTOS, y asistido por la Letrada Dª. MARIA ISABEL SOLE FERNANDEZ, y como apelado </w:t>
      </w:r>
      <w:r w:rsidRPr="005B7BDA">
        <w:rPr>
          <w:rFonts w:asciiTheme="majorHAnsi" w:hAnsiTheme="majorHAnsi"/>
          <w:bCs/>
          <w:sz w:val="24"/>
          <w:szCs w:val="24"/>
        </w:rPr>
        <w:t>BIHARKO ASEGURADORA S.A.</w:t>
      </w:r>
      <w:r w:rsidRPr="005B7BDA">
        <w:rPr>
          <w:rFonts w:asciiTheme="majorHAnsi" w:hAnsiTheme="majorHAnsi"/>
          <w:sz w:val="24"/>
          <w:szCs w:val="24"/>
        </w:rPr>
        <w:t xml:space="preserve"> representado por el procurador D. JULIAN CABALLERO AGUADO , y asistido por la Letrada Dª. PALOMA BERNAD DUEÑAS, sobre RECLAMACIÓN DE CANTIDAD, y siendo Magistrado Ponente la Ilma. </w:t>
      </w:r>
      <w:r w:rsidRPr="005B7BDA">
        <w:rPr>
          <w:rFonts w:asciiTheme="majorHAnsi" w:hAnsiTheme="majorHAnsi"/>
          <w:bCs/>
          <w:sz w:val="24"/>
          <w:szCs w:val="24"/>
        </w:rPr>
        <w:t>Sra. Dª</w:t>
      </w:r>
      <w:r w:rsidRPr="005B7BDA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bCs/>
          <w:sz w:val="24"/>
          <w:szCs w:val="24"/>
        </w:rPr>
        <w:t>CRISTINA DOMENECH GARRET, quien actúa en la resolución del presente recurso como órgano</w:t>
      </w:r>
      <w:r w:rsidRPr="005B7BDA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bCs/>
          <w:sz w:val="24"/>
          <w:szCs w:val="24"/>
        </w:rPr>
        <w:t>unipersonal.</w:t>
      </w:r>
    </w:p>
    <w:p w:rsidR="005B7BDA" w:rsidRPr="005B7BDA" w:rsidRDefault="005B7BDA" w:rsidP="005B7BD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>ANTECEDENTES DE HECHO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>PRIMERO</w:t>
      </w:r>
      <w:r w:rsidRPr="005B7BDA">
        <w:rPr>
          <w:rFonts w:asciiTheme="majorHAnsi" w:hAnsiTheme="majorHAnsi"/>
          <w:sz w:val="24"/>
          <w:szCs w:val="24"/>
        </w:rPr>
        <w:t>.- Seguido el juicio por sus trámites legales ante el JDO. PRIMERA INSTANCIA N. 14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MADRID, por el mismo se dictó sentencia con fecha 14 de marzo de </w:t>
      </w:r>
      <w:proofErr w:type="gramStart"/>
      <w:r w:rsidRPr="005B7BDA">
        <w:rPr>
          <w:rFonts w:asciiTheme="majorHAnsi" w:hAnsiTheme="majorHAnsi"/>
          <w:sz w:val="24"/>
          <w:szCs w:val="24"/>
        </w:rPr>
        <w:t>2011 ,</w:t>
      </w:r>
      <w:proofErr w:type="gramEnd"/>
      <w:r w:rsidRPr="005B7BDA">
        <w:rPr>
          <w:rFonts w:asciiTheme="majorHAnsi" w:hAnsiTheme="majorHAnsi"/>
          <w:sz w:val="24"/>
          <w:szCs w:val="24"/>
        </w:rPr>
        <w:t xml:space="preserve"> cuya parte dispositiva dice: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"Que estimando la demanda interpuesta por el Procurador D. JULIAN CABALLERO AGUADO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en nombre y de BIHARKO ASEGURADORA, COMPAÑÍA DE SEGUROS Y REASEGUROS contra 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COMUNIDAD DE PROPIETARIOS DE LA CALLE000 </w:t>
      </w:r>
      <w:r w:rsidRPr="005B7BDA">
        <w:rPr>
          <w:rFonts w:asciiTheme="majorHAnsi" w:hAnsiTheme="majorHAnsi"/>
          <w:sz w:val="24"/>
          <w:szCs w:val="24"/>
        </w:rPr>
        <w:lastRenderedPageBreak/>
        <w:t>NÚMERO NUM000 DE MADRID y contra OCASO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SA, debo condenar y condeno a estos demandados a que paguen a la parte actora, la cantidad de CIENTO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CUARENTA Y TRES EUROS CON TREINTA Y OCHO CENTIMOS (1.143,38 euros) por principal, más los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intereses legales en la forma expuesta en el Fundamento de Derecho Quinto y al pago de las costas causadas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en este procedimiento."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 xml:space="preserve">SEGUNDO.- </w:t>
      </w:r>
      <w:r w:rsidRPr="005B7BDA">
        <w:rPr>
          <w:rFonts w:asciiTheme="majorHAnsi" w:hAnsiTheme="majorHAnsi"/>
          <w:sz w:val="24"/>
          <w:szCs w:val="24"/>
        </w:rPr>
        <w:t>Notificada la anterior sentencia a las partes, por la representación procesal de 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demandada C.P. C/ CALLE000 NUM000 se interpuso recurso de apelación, y cumplidos los trámites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correspondientes, se remitieron los autos originales del juicio, a este Tribunal donde han comparecido los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litigantes, sustanciándose el recurso en la forma legalmente establecida.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 xml:space="preserve">TERCERO.- </w:t>
      </w:r>
      <w:r w:rsidRPr="005B7BDA">
        <w:rPr>
          <w:rFonts w:asciiTheme="majorHAnsi" w:hAnsiTheme="majorHAnsi"/>
          <w:sz w:val="24"/>
          <w:szCs w:val="24"/>
        </w:rPr>
        <w:t>Seguido el recurso por todos sus trámites, se señalo para la celebración y fallo el pasado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día 18 de julio de 2012, quedando pendiente de sentencia.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 xml:space="preserve">CUARTO.- </w:t>
      </w:r>
      <w:r w:rsidRPr="005B7BDA">
        <w:rPr>
          <w:rFonts w:asciiTheme="majorHAnsi" w:hAnsiTheme="majorHAnsi"/>
          <w:sz w:val="24"/>
          <w:szCs w:val="24"/>
        </w:rPr>
        <w:t>En la tramitación de este procedimiento se han observado las prescripciones legales.</w:t>
      </w:r>
    </w:p>
    <w:p w:rsidR="005B7BDA" w:rsidRPr="005B7BDA" w:rsidRDefault="005B7BDA" w:rsidP="005B7BD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>FUNDAMENTOS JURIDICOS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SE ACEPTAN los Fundamentos de Derecho de la Sentencia recurrida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 xml:space="preserve">PRIMERO.- </w:t>
      </w:r>
      <w:r w:rsidRPr="005B7BDA">
        <w:rPr>
          <w:rFonts w:asciiTheme="majorHAnsi" w:hAnsiTheme="majorHAnsi"/>
          <w:sz w:val="24"/>
          <w:szCs w:val="24"/>
        </w:rPr>
        <w:t xml:space="preserve">La sentencia dictada en la instancia estimó la demanda interpuesta por </w:t>
      </w:r>
      <w:proofErr w:type="spellStart"/>
      <w:r w:rsidRPr="005B7BDA">
        <w:rPr>
          <w:rFonts w:asciiTheme="majorHAnsi" w:hAnsiTheme="majorHAnsi"/>
          <w:sz w:val="24"/>
          <w:szCs w:val="24"/>
        </w:rPr>
        <w:t>Biharko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Aseguradora, Compañía de Seguros y Reaseguros, S.A., contra la comunidad de propietarios de la finca sita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en la CALLE000 nº NUM000 Madrid, en la que ejercitaba, por vía </w:t>
      </w:r>
      <w:proofErr w:type="spellStart"/>
      <w:r w:rsidRPr="005B7BDA">
        <w:rPr>
          <w:rFonts w:asciiTheme="majorHAnsi" w:hAnsiTheme="majorHAnsi"/>
          <w:sz w:val="24"/>
          <w:szCs w:val="24"/>
        </w:rPr>
        <w:t>subrogatoria</w:t>
      </w:r>
      <w:proofErr w:type="spellEnd"/>
      <w:r w:rsidRPr="005B7BDA">
        <w:rPr>
          <w:rFonts w:asciiTheme="majorHAnsi" w:hAnsiTheme="majorHAnsi"/>
          <w:sz w:val="24"/>
          <w:szCs w:val="24"/>
        </w:rPr>
        <w:t xml:space="preserve">, acción </w:t>
      </w:r>
      <w:proofErr w:type="spellStart"/>
      <w:r w:rsidRPr="005B7BDA">
        <w:rPr>
          <w:rFonts w:asciiTheme="majorHAnsi" w:hAnsiTheme="majorHAnsi"/>
          <w:sz w:val="24"/>
          <w:szCs w:val="24"/>
        </w:rPr>
        <w:t>aquiliana</w:t>
      </w:r>
      <w:proofErr w:type="spellEnd"/>
      <w:r w:rsidRPr="005B7BDA">
        <w:rPr>
          <w:rFonts w:asciiTheme="majorHAnsi" w:hAnsiTheme="majorHAnsi"/>
          <w:sz w:val="24"/>
          <w:szCs w:val="24"/>
        </w:rPr>
        <w:t xml:space="preserve"> reclamando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la indemnización de los daños ocasionados como consecuencia de la rotura de la tubería de calefacción central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que discurre por el tabique medianil de la habitación y el salón la vivienda sita en el piso NUM001 NUM002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propiedad de su asegurado, que provocó el derrame de agua y afectó a las paredes y al parquet de dichas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estancias, y en consecuencia condena a la demandada a pagar a la entidad actora la suma de 1143,38 euros,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más los intereses legales, así como al pago de las costas.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Frente a dicha resolución, se alza la demandada alegando error en la valoración de la prueba, por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entender en suma que la prueba pericial practicada y la factura de reparación acreditan que la avería consistió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en la rotura de una tubería de alimentación de la calefacción que va desde el entronque de la tubería general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al radiador del salón del piso NUM001 </w:t>
      </w:r>
      <w:proofErr w:type="gramStart"/>
      <w:r w:rsidRPr="005B7BDA">
        <w:rPr>
          <w:rFonts w:asciiTheme="majorHAnsi" w:hAnsiTheme="majorHAnsi"/>
          <w:sz w:val="24"/>
          <w:szCs w:val="24"/>
        </w:rPr>
        <w:t>NUM002 ,</w:t>
      </w:r>
      <w:proofErr w:type="gramEnd"/>
      <w:r w:rsidRPr="005B7BDA">
        <w:rPr>
          <w:rFonts w:asciiTheme="majorHAnsi" w:hAnsiTheme="majorHAnsi"/>
          <w:sz w:val="24"/>
          <w:szCs w:val="24"/>
        </w:rPr>
        <w:t xml:space="preserve"> la cual servía únicamente para suministrar agua caliente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de calefacción a dicha vivienda. Sobre esta base y aduciendo que las tuberías que discurren por el interior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de las viviendas y prestan servicio exclusivo a las mismas tienen la condición de instalaciones privativas,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concluye que no puede exigirse responsabilidad a la comunidad de propietarios, por lo que se debe absolver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a la demandada y apelante de las pretensiones contra ella deducidas.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lastRenderedPageBreak/>
        <w:t xml:space="preserve">SEGUNDO.- </w:t>
      </w:r>
      <w:r w:rsidRPr="005B7BDA">
        <w:rPr>
          <w:rFonts w:asciiTheme="majorHAnsi" w:hAnsiTheme="majorHAnsi"/>
          <w:sz w:val="24"/>
          <w:szCs w:val="24"/>
        </w:rPr>
        <w:t>La revisión de lo actuado lleva a compartir la apreciación y los razonamientos de 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de instancia, impidiendo por el contrario compartir las alegaciones de la apelante. En el recurso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se parte de la premisa de que las canalizaciones de los edificios tienen carácter común desde el enganche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acometida general hasta el punto en que tales conducciones penetren en cada uno de los pisos o locales. Y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ciertamente, atendidos los artículos 396 CC y 3 LPH dicha conclusión en términos generales es acertada. Tal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como establece el citado artículo 396 CC de forma expresa tienen la consideración de elemento común, las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instalaciones y conducciones de calefacción hasta la entrada al espacio privativo, y también otros elementos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materiales o jurídicos que por su naturaleza o destino resulten indivisibles. Por su parte dispone el artículo 3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LPH que cada comunero tiene derecho "singular y exclusivo de propiedad sobre un espacio suficientemente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delimitado y susceptible de aprovechamiento independiente, con los elementos arquitectónicos e instalaciones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de todas clases, aparentes o no, que estén comprendidos dentro de sus límites y sirvan exclusivamente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al propietario...". Por tanto la caracterización de elemento privativo requiere que aquel de que se trate se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halle dentro del espacio privativo del comunero y que sirva en exclusiva al mismo y además sea divisible.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Sin embargo, olvida la recurrente que el presente caso no se trata de determinar la naturaleza privativa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comunitaria de una conducción de agua, o de electricidad, o de telefonía, sino calefacción central, la cual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según criterio mayoritario debe ser calificada como elemento común.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Así, la SAP Madrid, de esta misma Secc. 12ª, de de 17 de mayo de 2005 , después de afirmar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que las instalaciones, conducciones y canalizaciones para la calefacción se califican en el artículo 396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como elementos comunes, declara </w:t>
      </w:r>
      <w:r w:rsidRPr="005B7BDA">
        <w:rPr>
          <w:rFonts w:asciiTheme="majorHAnsi" w:hAnsiTheme="majorHAnsi"/>
          <w:i/>
          <w:iCs/>
          <w:sz w:val="24"/>
          <w:szCs w:val="24"/>
        </w:rPr>
        <w:t>que bastaría recurrir al criterio de disponibilidad para estimar que las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conducciones de calefacción central de un edificio son elementos comunes, por cuanto, a diferencia del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servicio individualizado, el sistema de calefacción central es un circuito estanco con unas dimensiones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 xml:space="preserve">trazado y volumen invariables, pues cualquier modificación afecta al funcionamiento del servicio </w:t>
      </w:r>
      <w:r w:rsidRPr="005B7BDA">
        <w:rPr>
          <w:rFonts w:asciiTheme="majorHAnsi" w:hAnsiTheme="majorHAnsi"/>
          <w:sz w:val="24"/>
          <w:szCs w:val="24"/>
        </w:rPr>
        <w:t>. Siguiendo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este mismo criterio la propia SAP Madrid, Secc. 12ª, de 19 de marzo de 2008 , con cita de la anterior,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en un supuesto sustancialmente idéntico al presente caso declara que </w:t>
      </w:r>
      <w:r w:rsidRPr="005B7BDA">
        <w:rPr>
          <w:rFonts w:asciiTheme="majorHAnsi" w:hAnsiTheme="majorHAnsi"/>
          <w:i/>
          <w:iCs/>
          <w:sz w:val="24"/>
          <w:szCs w:val="24"/>
        </w:rPr>
        <w:t>el sistema de calefacción ha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ser considerado en su conjunto e integridad como un elemento común del inmueble, que no permite su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disponibilidad aislada por parte de los propietarios, ya que si bien la sentencia transcrita se refiere un supuesto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de alteración del sistema de calefacción, los argumentos que se utilizan al objeto de calificar la calefacción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como un elemento común en su integridad, con independencia de que se trate de elementos instalados dentro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de las viviendas de los propietarios, como sería un radiador, o bien y con mayor razón las tuberías 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discurren dentro del piso de cada propietario, son perfectamente aplicables al presente supuesto, dado que al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calificar todo el conjunto del sistema de calefacción como elemento común, a la comunidad corresponde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 xml:space="preserve">su conservación y mantenimiento con arreglo a lo dispuesto en el artículo 10.1 de la Ley </w:t>
      </w:r>
      <w:r w:rsidRPr="005B7BDA">
        <w:rPr>
          <w:rFonts w:asciiTheme="majorHAnsi" w:hAnsiTheme="majorHAnsi"/>
          <w:i/>
          <w:iCs/>
          <w:sz w:val="24"/>
          <w:szCs w:val="24"/>
        </w:rPr>
        <w:lastRenderedPageBreak/>
        <w:t>de Propiedad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Horizontal , y con ello la responsabilidad de dicha comunidad y consecuentemente de su aseguradora,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dimanante de la posible rotura de las conducciones de calefacción, por lo cual el recurso debe ser desestimado</w:t>
      </w:r>
      <w:r>
        <w:rPr>
          <w:rFonts w:asciiTheme="majorHAnsi" w:hAnsiTheme="majorHAnsi"/>
          <w:sz w:val="24"/>
          <w:szCs w:val="24"/>
        </w:rPr>
        <w:t>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Por su parte la SAP Madrid, Secc. 25ª, de 10 de septiembre de 2010 , que resuelve también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sobre supuesto de ejercicio de acción de responsabilidad extracontractual por filtraciones procedentes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conducción de calefacción central, con cita de su Sentencia de 27-10-2009, nº 484/2009, </w:t>
      </w:r>
      <w:proofErr w:type="spellStart"/>
      <w:r w:rsidRPr="005B7BDA">
        <w:rPr>
          <w:rFonts w:asciiTheme="majorHAnsi" w:hAnsiTheme="majorHAnsi"/>
          <w:sz w:val="24"/>
          <w:szCs w:val="24"/>
        </w:rPr>
        <w:t>rec</w:t>
      </w:r>
      <w:proofErr w:type="spellEnd"/>
      <w:r w:rsidRPr="005B7BDA">
        <w:rPr>
          <w:rFonts w:asciiTheme="majorHAnsi" w:hAnsiTheme="majorHAnsi"/>
          <w:sz w:val="24"/>
          <w:szCs w:val="24"/>
        </w:rPr>
        <w:t>. 412/2009,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Secc. 25 ª, declara que " </w:t>
      </w:r>
      <w:r w:rsidRPr="005B7BDA">
        <w:rPr>
          <w:rFonts w:asciiTheme="majorHAnsi" w:hAnsiTheme="majorHAnsi"/>
          <w:i/>
          <w:iCs/>
          <w:sz w:val="24"/>
          <w:szCs w:val="24"/>
        </w:rPr>
        <w:t>Resulta incuestionable que la obligación indemnizatoria en definitiva pretendida 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el proceso habrá de ser exigida a aquella persona o entidad a quien legalmente incumbiera la obligación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de conservar y mantener la tubería litigiosa en las debidas condiciones de funcionamiento para cumplir su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finalidad, y por ende, de realizar en ella los arreglos, reparaciones y cuidados cuya omisión ha dado lugar a 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causación del daño. En este sentido, ha de tenerse presente que la tubería en cuestión aparece integrada 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el circuito del sistema de calefacción central del edificio, y, por tanto, no presta sólo un servicio individualizado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al propietario de la vivienda del piso, origen del siniestro, sino que presta servicio a la totalidad del inmueble.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Efectivamente, el fluido que discurre por la misma no se encuentra destinado al aprovechamiento exclusivo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la reseñada vivienda -no entra, propiamente, en el espacio privativo de la misma-, sino que al estar integrada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la conducción en el circuito general, se encuentra destinado al aprovechamiento común. Esta circunstancia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 xml:space="preserve">determina indudablemente, conforme a lo establecido por el artículo 396 del Código </w:t>
      </w:r>
      <w:proofErr w:type="gramStart"/>
      <w:r w:rsidRPr="005B7BDA">
        <w:rPr>
          <w:rFonts w:asciiTheme="majorHAnsi" w:hAnsiTheme="majorHAnsi"/>
          <w:i/>
          <w:iCs/>
          <w:sz w:val="24"/>
          <w:szCs w:val="24"/>
        </w:rPr>
        <w:t>Civil ,</w:t>
      </w:r>
      <w:proofErr w:type="gramEnd"/>
      <w:r w:rsidRPr="005B7BDA">
        <w:rPr>
          <w:rFonts w:asciiTheme="majorHAnsi" w:hAnsiTheme="majorHAnsi"/>
          <w:i/>
          <w:iCs/>
          <w:sz w:val="24"/>
          <w:szCs w:val="24"/>
        </w:rPr>
        <w:t xml:space="preserve"> el carácter común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de la tubería en cuestión, y, por ende, la atribución a la Comunidad de Propietarios de la obligación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conservación y mantenimiento de la misma. Correspondiendo a la Comunidad de Propietarios demandada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la obligación de conservación y mantenimiento de la tubería originadora de los daños cuyo resarcimiento se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persigue, resulta incontestable la obligación indemnizatoria que pesa sobre dicha Comunidad -y, lógicamente,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 xml:space="preserve">sobre su aseguradora de responsabilidad civil- </w:t>
      </w:r>
      <w:r w:rsidRPr="005B7BDA">
        <w:rPr>
          <w:rFonts w:asciiTheme="majorHAnsi" w:hAnsiTheme="majorHAnsi"/>
          <w:sz w:val="24"/>
          <w:szCs w:val="24"/>
        </w:rPr>
        <w:t>". En el mismo sentido cabe citar también las SSAP Madrid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10 de noviembre de 2006 y Secc. 20ª, de 22 de marzo de </w:t>
      </w:r>
      <w:proofErr w:type="gramStart"/>
      <w:r w:rsidRPr="005B7BDA">
        <w:rPr>
          <w:rFonts w:asciiTheme="majorHAnsi" w:hAnsiTheme="majorHAnsi"/>
          <w:sz w:val="24"/>
          <w:szCs w:val="24"/>
        </w:rPr>
        <w:t>2012 ,</w:t>
      </w:r>
      <w:proofErr w:type="gramEnd"/>
      <w:r w:rsidRPr="005B7BDA">
        <w:rPr>
          <w:rFonts w:asciiTheme="majorHAnsi" w:hAnsiTheme="majorHAnsi"/>
          <w:sz w:val="24"/>
          <w:szCs w:val="24"/>
        </w:rPr>
        <w:t xml:space="preserve"> que califican la calefacción como elemento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común.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Por último, sin ánimo exhaustivo, este mismo criterio se sigue en la SAP Madrid, Secc. 8ª, de 22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marzo de </w:t>
      </w:r>
      <w:proofErr w:type="gramStart"/>
      <w:r w:rsidRPr="005B7BDA">
        <w:rPr>
          <w:rFonts w:asciiTheme="majorHAnsi" w:hAnsiTheme="majorHAnsi"/>
          <w:sz w:val="24"/>
          <w:szCs w:val="24"/>
        </w:rPr>
        <w:t>2012 ,</w:t>
      </w:r>
      <w:proofErr w:type="gramEnd"/>
      <w:r w:rsidRPr="005B7BDA">
        <w:rPr>
          <w:rFonts w:asciiTheme="majorHAnsi" w:hAnsiTheme="majorHAnsi"/>
          <w:sz w:val="24"/>
          <w:szCs w:val="24"/>
        </w:rPr>
        <w:t xml:space="preserve"> en proceso seguido precisamente entre la compañía de seguros ahora apelada y aquella 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asegura el riesgo de la comunidad demandada y aquí apelante, en el que se ejercitaba la misma acción con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fundamento en la avería de conducción de la calefacción central, como se debate en el presente caso. Dicha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Sentencia declara que "[e] </w:t>
      </w:r>
      <w:r w:rsidRPr="005B7BDA">
        <w:rPr>
          <w:rFonts w:asciiTheme="majorHAnsi" w:hAnsiTheme="majorHAnsi"/>
          <w:i/>
          <w:iCs/>
          <w:sz w:val="24"/>
          <w:szCs w:val="24"/>
        </w:rPr>
        <w:t>n el caso que nos ocupa, se trata de un sistema de calefacción central, configurado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desde su proyecto inicial para dar servicio a un determinado número de fincas registrales, con un número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concreto de radiadores por cada una de ellas, así como también, de un número específico de elementos por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cada radiador. De modo que, sin el conocimiento y consentimiento de la Comunidad e, incluso, con la debida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información técnica al respecto, no se puede alterar ni variar ninguno de los elementos que integran dicho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 xml:space="preserve">sistema. Ni siquiera </w:t>
      </w:r>
      <w:r w:rsidRPr="005B7BDA">
        <w:rPr>
          <w:rFonts w:asciiTheme="majorHAnsi" w:hAnsiTheme="majorHAnsi"/>
          <w:i/>
          <w:iCs/>
          <w:sz w:val="24"/>
          <w:szCs w:val="24"/>
        </w:rPr>
        <w:lastRenderedPageBreak/>
        <w:t>variar de ubicación esos radiadores, puesto que las distancias también influyen en su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correcto funcionamiento. El agua que entra en el espacio privativo y nutre a los radiadores, no es para uso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exclusivo de su propietario. Esta agua es siempre la misma, que circula continuamente por el sistema a fin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dar suministro a todos y cada uno de los comuneros que participan de él.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Por lo tanto aunque en el presente caso, según resulta de las periciales aportadas y practicadas en el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juicio, el siniestro haya tenido su origen en un ramal o tubería que discurre dentro de la vivienda del asegurado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por la ahora apelada y pese a que dicha tubería suministre agua caliente en exclusiva a un radiador del mismo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inmueble, en modo alguno se puede calificar dicho elemento como privativo. Resulta de ambas pruebas 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dicha tubería forma parte integrante de la instalación de calefacción central que dispone de una caldera y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un circuito, el cual se compone de los ascendentes correspondientes y ramales que reparten a todos los pisos,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retornando después su flujo a las canalizaciones generales, teniendo una única llave de corte de suministro,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para cuya apertura se precisa de la autorización del presidente de la comunidad y que hay que cerrar ante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cualquier contingencia de reparación, sea de la caldera, sea de los distintos radiadores de las diferentes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viviendas del edificio. En suma, como dice la SAP Madrid, Secc. 18ª, de 28 de noviembre de 2007 , citada por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anterior, la calefacción central se configura como una unidad que no permite </w:t>
      </w:r>
      <w:r w:rsidRPr="005B7BDA">
        <w:rPr>
          <w:rFonts w:asciiTheme="majorHAnsi" w:hAnsiTheme="majorHAnsi"/>
          <w:i/>
          <w:iCs/>
          <w:sz w:val="24"/>
          <w:szCs w:val="24"/>
        </w:rPr>
        <w:t>la separación entre elementos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privativos y elementos comunes, puesto que es toda una unidad la instalación de calefacción, y un circuito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cerrado y continuo, que no muere y acaba en cada elemento privativo, sino que continúa a los otros pisos y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>locales que integran la comunidad de propietarios, tratándose por tanto de un elemento único es evidente la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i/>
          <w:iCs/>
          <w:sz w:val="24"/>
          <w:szCs w:val="24"/>
        </w:rPr>
        <w:t xml:space="preserve">propiedad común de toda la instalación de calefacción </w:t>
      </w:r>
      <w:r w:rsidRPr="005B7BDA">
        <w:rPr>
          <w:rFonts w:asciiTheme="majorHAnsi" w:hAnsiTheme="majorHAnsi"/>
          <w:sz w:val="24"/>
          <w:szCs w:val="24"/>
        </w:rPr>
        <w:t>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 xml:space="preserve">TERCERO.- </w:t>
      </w:r>
      <w:r w:rsidRPr="005B7BDA">
        <w:rPr>
          <w:rFonts w:asciiTheme="majorHAnsi" w:hAnsiTheme="majorHAnsi"/>
          <w:sz w:val="24"/>
          <w:szCs w:val="24"/>
        </w:rPr>
        <w:t>De cuanto antecede resulta la desestimación del recurso y la confirmación de la sentencia,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si bien, de conformidad con lo autorizado en los artículos 394 y 398 </w:t>
      </w:r>
      <w:r w:rsidR="00BC390F" w:rsidRPr="005B7BDA">
        <w:rPr>
          <w:rFonts w:asciiTheme="majorHAnsi" w:hAnsiTheme="majorHAnsi"/>
          <w:sz w:val="24"/>
          <w:szCs w:val="24"/>
        </w:rPr>
        <w:t>LEC,</w:t>
      </w:r>
      <w:r w:rsidRPr="005B7BDA">
        <w:rPr>
          <w:rFonts w:asciiTheme="majorHAnsi" w:hAnsiTheme="majorHAnsi"/>
          <w:sz w:val="24"/>
          <w:szCs w:val="24"/>
        </w:rPr>
        <w:t xml:space="preserve"> no se hace especial pronunciamiento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respecto de las costas de la alzada en tanto la doctrina que se acoge no es unánime y cuenta con resoluciones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de signo opuesto.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Vistos los preceptos legales citados y demás de general aplicación.</w:t>
      </w:r>
    </w:p>
    <w:p w:rsidR="005B7BDA" w:rsidRPr="005B7BDA" w:rsidRDefault="005B7BDA" w:rsidP="005B7BD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>FALLO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 xml:space="preserve">DESESTIMAR </w:t>
      </w:r>
      <w:r w:rsidRPr="005B7BDA">
        <w:rPr>
          <w:rFonts w:asciiTheme="majorHAnsi" w:hAnsiTheme="majorHAnsi"/>
          <w:sz w:val="24"/>
          <w:szCs w:val="24"/>
        </w:rPr>
        <w:t>el recurso de apelación interpuesto por la representación procesal de la comunidad de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propietarios de la CALLE000 nº NUM000 de Madrid contra la sentencia dictada en fecha 14 de marzo de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B7BDA">
        <w:rPr>
          <w:rFonts w:asciiTheme="majorHAnsi" w:hAnsiTheme="majorHAnsi"/>
          <w:sz w:val="24"/>
          <w:szCs w:val="24"/>
        </w:rPr>
        <w:t>2011 ,</w:t>
      </w:r>
      <w:proofErr w:type="gramEnd"/>
      <w:r w:rsidRPr="005B7BDA">
        <w:rPr>
          <w:rFonts w:asciiTheme="majorHAnsi" w:hAnsiTheme="majorHAnsi"/>
          <w:sz w:val="24"/>
          <w:szCs w:val="24"/>
        </w:rPr>
        <w:t xml:space="preserve"> por la Ilma. Sra. Magistrada Juez del Juzgado de Primera Instancia núm. 14 de Madrid, en los autos de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 xml:space="preserve">Juicio Verbal núm. 1369 de 2010, </w:t>
      </w:r>
      <w:r w:rsidRPr="005B7BDA">
        <w:rPr>
          <w:rFonts w:asciiTheme="majorHAnsi" w:hAnsiTheme="majorHAnsi"/>
          <w:b/>
          <w:bCs/>
          <w:sz w:val="24"/>
          <w:szCs w:val="24"/>
        </w:rPr>
        <w:t xml:space="preserve">CONFIRMAR </w:t>
      </w:r>
      <w:r w:rsidRPr="005B7BDA">
        <w:rPr>
          <w:rFonts w:asciiTheme="majorHAnsi" w:hAnsiTheme="majorHAnsi"/>
          <w:sz w:val="24"/>
          <w:szCs w:val="24"/>
        </w:rPr>
        <w:t>dicha resolución, sin hacer expresa imposición de las costas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causadas en ésta alzada, con pérdida del depósito constituido.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Contra la presente resolución NO CABE RECURSO ALGUNO.</w:t>
      </w:r>
    </w:p>
    <w:p w:rsidR="005B7BDA" w:rsidRPr="005B7BDA" w:rsidRDefault="005B7BDA" w:rsidP="005B7BDA">
      <w:pPr>
        <w:jc w:val="both"/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lastRenderedPageBreak/>
        <w:t>Notifíquese la presente Sentencia y remítase testimonio de la misma, junto con los autos principales,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al Juzgado de procedencia, para su ejecución y cumplimiento.</w:t>
      </w:r>
    </w:p>
    <w:p w:rsidR="005B7BDA" w:rsidRPr="005B7BDA" w:rsidRDefault="005B7BDA" w:rsidP="005B7BDA">
      <w:pPr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sz w:val="24"/>
          <w:szCs w:val="24"/>
        </w:rPr>
        <w:t>Así por esta nuestra Sentencia, de la que se unirá certificación al Rollo, lo pronunciamos, mandamos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y firmamos.</w:t>
      </w:r>
    </w:p>
    <w:p w:rsidR="002B2593" w:rsidRDefault="005B7BDA" w:rsidP="005B7BDA">
      <w:pPr>
        <w:rPr>
          <w:rFonts w:asciiTheme="majorHAnsi" w:hAnsiTheme="majorHAnsi"/>
          <w:sz w:val="24"/>
          <w:szCs w:val="24"/>
        </w:rPr>
      </w:pPr>
      <w:r w:rsidRPr="005B7BDA">
        <w:rPr>
          <w:rFonts w:asciiTheme="majorHAnsi" w:hAnsiTheme="majorHAnsi"/>
          <w:b/>
          <w:bCs/>
          <w:sz w:val="24"/>
          <w:szCs w:val="24"/>
        </w:rPr>
        <w:t xml:space="preserve">PUBLICACION.- </w:t>
      </w:r>
      <w:r w:rsidRPr="005B7BDA">
        <w:rPr>
          <w:rFonts w:asciiTheme="majorHAnsi" w:hAnsiTheme="majorHAnsi"/>
          <w:sz w:val="24"/>
          <w:szCs w:val="24"/>
        </w:rPr>
        <w:t>Leída y publicada ha sido la anterior resolución por la Ilma. Sra. Magistrada Ponente</w:t>
      </w:r>
      <w:r w:rsidR="00BC390F">
        <w:rPr>
          <w:rFonts w:asciiTheme="majorHAnsi" w:hAnsiTheme="majorHAnsi"/>
          <w:sz w:val="24"/>
          <w:szCs w:val="24"/>
        </w:rPr>
        <w:t xml:space="preserve"> </w:t>
      </w:r>
      <w:r w:rsidRPr="005B7BDA">
        <w:rPr>
          <w:rFonts w:asciiTheme="majorHAnsi" w:hAnsiTheme="majorHAnsi"/>
          <w:sz w:val="24"/>
          <w:szCs w:val="24"/>
        </w:rPr>
        <w:t>en el mismo día de su fecha estando constituida en Audiencia Pública. Certifico.-</w:t>
      </w: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Default="00BC390F" w:rsidP="005B7BDA">
      <w:pPr>
        <w:rPr>
          <w:rFonts w:asciiTheme="majorHAnsi" w:hAnsiTheme="majorHAnsi"/>
          <w:sz w:val="24"/>
          <w:szCs w:val="24"/>
        </w:rPr>
      </w:pPr>
    </w:p>
    <w:p w:rsidR="00BC390F" w:rsidRPr="00BC390F" w:rsidRDefault="00BC390F" w:rsidP="00BC390F">
      <w:pPr>
        <w:rPr>
          <w:rFonts w:asciiTheme="majorHAnsi" w:hAnsiTheme="majorHAnsi"/>
          <w:sz w:val="24"/>
          <w:szCs w:val="24"/>
        </w:rPr>
      </w:pPr>
      <w:r w:rsidRPr="00BC390F">
        <w:rPr>
          <w:rFonts w:asciiTheme="majorHAnsi" w:hAnsiTheme="majorHAnsi"/>
          <w:sz w:val="24"/>
          <w:szCs w:val="24"/>
        </w:rPr>
        <w:t>El presente texto se corresponde exactamente con el distribuido de forma oficial por el Centro de Documentación Judicial (CENDOJ).</w:t>
      </w:r>
    </w:p>
    <w:p w:rsidR="00BC390F" w:rsidRPr="005B7BDA" w:rsidRDefault="00BC390F" w:rsidP="005B7BDA">
      <w:pPr>
        <w:rPr>
          <w:rFonts w:asciiTheme="majorHAnsi" w:hAnsiTheme="majorHAnsi"/>
          <w:sz w:val="24"/>
          <w:szCs w:val="24"/>
        </w:rPr>
      </w:pPr>
    </w:p>
    <w:sectPr w:rsidR="00BC390F" w:rsidRPr="005B7BDA" w:rsidSect="002B2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BDA"/>
    <w:rsid w:val="000D6479"/>
    <w:rsid w:val="002B2593"/>
    <w:rsid w:val="005B7BDA"/>
    <w:rsid w:val="00BC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2228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2012-10-30T16:28:00Z</dcterms:created>
  <dcterms:modified xsi:type="dcterms:W3CDTF">2012-10-30T16:54:00Z</dcterms:modified>
</cp:coreProperties>
</file>